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595959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等线" w:cs="Times New Roman"/>
          <w:b w:val="0"/>
          <w:i w:val="0"/>
          <w:caps w:val="0"/>
          <w:color w:val="595959"/>
          <w:spacing w:val="0"/>
          <w:sz w:val="32"/>
          <w:szCs w:val="32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Times New Roman" w:hAnsi="Times New Roman" w:eastAsia="等线" w:cs="Times New Roman"/>
          <w:b w:val="0"/>
          <w:i w:val="0"/>
          <w:caps w:val="0"/>
          <w:color w:val="595959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default" w:ascii="等线" w:hAnsi="等线" w:eastAsia="等线" w:cs="等线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95959"/>
          <w:spacing w:val="0"/>
          <w:sz w:val="36"/>
          <w:szCs w:val="36"/>
          <w:shd w:val="clear" w:fill="FFFFFF"/>
        </w:rPr>
        <w:t>四川省执行大气污染物特别排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595959"/>
          <w:spacing w:val="0"/>
          <w:sz w:val="36"/>
          <w:szCs w:val="36"/>
          <w:shd w:val="clear" w:fill="FFFFFF"/>
        </w:rPr>
        <w:t>放限值标准表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Times New Roman" w:hAnsi="Times New Roman" w:eastAsia="等线" w:cs="Times New Roman"/>
          <w:b w:val="0"/>
          <w:i w:val="0"/>
          <w:caps w:val="0"/>
          <w:color w:val="595959"/>
          <w:spacing w:val="0"/>
          <w:sz w:val="20"/>
          <w:szCs w:val="20"/>
          <w:shd w:val="clear" w:fill="FFFFFF"/>
        </w:rPr>
        <w:t> </w:t>
      </w:r>
    </w:p>
    <w:tbl>
      <w:tblPr>
        <w:tblStyle w:val="3"/>
        <w:tblW w:w="73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538"/>
        <w:gridCol w:w="29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4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准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称</w:t>
            </w:r>
          </w:p>
        </w:tc>
        <w:tc>
          <w:tcPr>
            <w:tcW w:w="35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准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编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 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铁矿采选工业污染物排放标准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 28661-2012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钢铁烧结、球团工业大气污染物排放标准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GB 28662-2012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炼铁工业大气污染物排放标准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GB 28663-2012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炼钢工业大气污染物排放标准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GB 28664-2012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轧钢工业大气污染物排放标准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GB 28665-2012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铁合金工业污染物排放标准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GB 28666-2012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炼焦化学工业污染物排放标准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GB 16171-2012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石油炼制工业污染物排放标准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GB 31570-2015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石油化学工业污染物排放标准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GB 31571-2015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合成树脂工业污染物排放标准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GB 31572-2015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烧碱、聚氯乙烯工业污染物排放标准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GB 15581-2016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硝酸工业污染物排放标准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GB 26131-2010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硫酸工业污染物排放标准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GB 26132-2010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无机化学工业污染物排放标准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GB 31573-2015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铝工业污染物排放标准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GB 25465-2010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铝工业污染物排放标准修改单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环境保护部公告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年第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79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铅、锌工业污染物排放标准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GB 25466-2010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铅、锌工业污染物排放标准修改单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环境保护部公告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年第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79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铜、镍、钴工业污染物排放标准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GB 25467-2010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铜、镍、钴工业污染物排放标准修改单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环境保护部公告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年第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79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镁、钛工业污染物排放标准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GB 25468-2010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镁、钛工业污染物排放标准修改单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环境保护部公告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年第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79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稀土工业污染物排放标准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GB 26451-2011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稀土工业污染物排放标准修改单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环境保护部公告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年第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79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钒工业污染物排放标准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GB 26452-2011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钒工业污染物排放标准修改单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环境保护部公告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年第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79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锡、锑、汞工业污染物排放标准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GB 30770-2014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再生铜、铝、铅、锌工业污染物排放标准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GB 31574-2015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水泥工业大气污染物排放标准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GB 4915-2013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锅炉大气污染物排放标准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GB 13271-2014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制药工业大气污染物排放标准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 37823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涂料、油墨及胶粘剂工业大气污染物排放标准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 37824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－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2019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挥发性有机物无组织排放控制标准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GB 37822-2019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953C6-7FC2-40C9-88F8-65A19726F7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D7DD99E-0098-422F-842D-7C375E6C52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93FFC6-1184-4F61-8D22-6FB7C65CE4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E2DCEF-2B4D-4054-8D25-84ADFEFCAE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2AEA"/>
    <w:rsid w:val="460D2AEA"/>
    <w:rsid w:val="7E1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2020-03-19T02:18:00Z</dcterms:created>
  <dc:creator>李惠贤</dc:creator>
  <cp:lastModifiedBy>李惠贤</cp:lastModifiedBy>
  <dcterms:modified xsi:type="dcterms:W3CDTF">2020-03-19T02:20:41Z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